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BEC90A">
      <w:pPr>
        <w:adjustRightInd/>
        <w:snapToGrid/>
        <w:spacing w:line="220" w:lineRule="atLeast"/>
        <w:jc w:val="center"/>
        <w:rPr>
          <w:rFonts w:hint="eastAsia" w:ascii="仿宋" w:hAnsi="仿宋" w:eastAsia="仿宋" w:cs="仿宋"/>
          <w:b/>
          <w:bCs w:val="0"/>
          <w:color w:val="auto"/>
          <w:sz w:val="32"/>
          <w:szCs w:val="32"/>
          <w:highlight w:val="none"/>
          <w:lang w:val="en-US" w:eastAsia="zh-CN"/>
        </w:rPr>
      </w:pPr>
      <w:r>
        <w:rPr>
          <w:rFonts w:hint="eastAsia" w:ascii="仿宋" w:hAnsi="仿宋" w:eastAsia="仿宋" w:cs="仿宋"/>
          <w:b/>
          <w:bCs w:val="0"/>
          <w:color w:val="auto"/>
          <w:sz w:val="32"/>
          <w:szCs w:val="32"/>
          <w:highlight w:val="none"/>
          <w:lang w:val="en-US" w:eastAsia="zh-CN"/>
        </w:rPr>
        <w:t>兰州汇丰石化有限公司芳烃车间危废暂存库项目</w:t>
      </w:r>
    </w:p>
    <w:p w14:paraId="6BE3F4AF">
      <w:pPr>
        <w:adjustRightInd/>
        <w:snapToGrid/>
        <w:spacing w:line="220" w:lineRule="atLeast"/>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t>竣工环境保护验收“其他需要说明的事项”</w:t>
      </w:r>
    </w:p>
    <w:p w14:paraId="5E8B1638">
      <w:pPr>
        <w:adjustRightInd/>
        <w:snapToGrid/>
        <w:spacing w:line="220" w:lineRule="atLeast"/>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t>相关说明</w:t>
      </w:r>
    </w:p>
    <w:p w14:paraId="3E2D2759">
      <w:pPr>
        <w:pStyle w:val="2"/>
        <w:rPr>
          <w:rFonts w:hint="eastAsia" w:ascii="仿宋" w:hAnsi="仿宋" w:eastAsia="仿宋" w:cs="仿宋"/>
          <w:color w:val="auto"/>
          <w:highlight w:val="none"/>
        </w:rPr>
      </w:pPr>
      <w:r>
        <w:rPr>
          <w:rFonts w:hint="eastAsia" w:ascii="仿宋" w:hAnsi="仿宋" w:eastAsia="仿宋" w:cs="仿宋"/>
          <w:color w:val="auto"/>
          <w:highlight w:val="none"/>
        </w:rPr>
        <w:t>1环境保护设施设计、施工和验收过程简况</w:t>
      </w:r>
    </w:p>
    <w:p w14:paraId="4971F14E">
      <w:pPr>
        <w:pStyle w:val="3"/>
        <w:keepNext w:val="0"/>
        <w:widowControl/>
        <w:spacing w:before="120" w:after="120" w:line="360" w:lineRule="auto"/>
        <w:rPr>
          <w:rFonts w:hint="eastAsia" w:ascii="仿宋" w:hAnsi="仿宋" w:eastAsia="仿宋" w:cs="仿宋"/>
          <w:b/>
          <w:color w:val="auto"/>
          <w:sz w:val="30"/>
          <w:highlight w:val="none"/>
          <w:lang w:val="en-US"/>
        </w:rPr>
      </w:pPr>
      <w:r>
        <w:rPr>
          <w:rFonts w:hint="eastAsia" w:ascii="仿宋" w:hAnsi="仿宋" w:eastAsia="仿宋" w:cs="仿宋"/>
          <w:b/>
          <w:color w:val="auto"/>
          <w:sz w:val="30"/>
          <w:highlight w:val="none"/>
          <w:lang w:val="en-US"/>
        </w:rPr>
        <w:t>1.1设计简况</w:t>
      </w:r>
    </w:p>
    <w:p w14:paraId="197EABFF">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工程设计时将环保设施纳入初步设计，在初步设计中编制环境保护专篇，相关环保设施设计符合环境保护设计规范要求，按照设计要求落实防治污染和生态破坏的措施以及环保设施投资概算。</w:t>
      </w:r>
    </w:p>
    <w:p w14:paraId="5D42C5B6">
      <w:pPr>
        <w:pStyle w:val="3"/>
        <w:keepNext w:val="0"/>
        <w:widowControl/>
        <w:spacing w:before="120" w:after="120" w:line="360" w:lineRule="auto"/>
        <w:rPr>
          <w:rFonts w:hint="eastAsia" w:ascii="仿宋" w:hAnsi="仿宋" w:eastAsia="仿宋" w:cs="仿宋"/>
          <w:b/>
          <w:color w:val="auto"/>
          <w:sz w:val="30"/>
          <w:highlight w:val="none"/>
          <w:lang w:val="en-US"/>
        </w:rPr>
      </w:pPr>
      <w:r>
        <w:rPr>
          <w:rFonts w:hint="eastAsia" w:ascii="仿宋" w:hAnsi="仿宋" w:eastAsia="仿宋" w:cs="仿宋"/>
          <w:b/>
          <w:color w:val="auto"/>
          <w:sz w:val="30"/>
          <w:highlight w:val="none"/>
          <w:lang w:val="en-US"/>
        </w:rPr>
        <w:t>1.2施工简况</w:t>
      </w:r>
    </w:p>
    <w:p w14:paraId="29EE6902">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在工程建设施工过程中，将环境保护设施纳入施工合同，在施工过程中环境保护设施的建设进度和资金得到了保证，工程建设过程中组织实施了环境影响报告书及其审批部门审批决定中提出的环境保护对策措施。施工时定期对施工场地进行洒水、清理，对易产生扬尘的材料进行压盖，及时清运弃土，大风天气禁止作业，以免减少施工扬尘对周围环境的影响。</w:t>
      </w:r>
    </w:p>
    <w:p w14:paraId="37FD5156">
      <w:pPr>
        <w:pStyle w:val="3"/>
        <w:keepNext w:val="0"/>
        <w:widowControl/>
        <w:spacing w:before="120" w:after="120" w:line="360" w:lineRule="auto"/>
        <w:rPr>
          <w:rFonts w:hint="eastAsia" w:ascii="仿宋" w:hAnsi="仿宋" w:eastAsia="仿宋" w:cs="仿宋"/>
          <w:b/>
          <w:color w:val="auto"/>
          <w:sz w:val="30"/>
          <w:highlight w:val="none"/>
          <w:lang w:val="en-US"/>
        </w:rPr>
      </w:pPr>
      <w:r>
        <w:rPr>
          <w:rFonts w:hint="eastAsia" w:ascii="仿宋" w:hAnsi="仿宋" w:eastAsia="仿宋" w:cs="仿宋"/>
          <w:b/>
          <w:color w:val="auto"/>
          <w:sz w:val="30"/>
          <w:highlight w:val="none"/>
          <w:lang w:val="en-US"/>
        </w:rPr>
        <w:t>1.3验收过程简况</w:t>
      </w:r>
    </w:p>
    <w:p w14:paraId="5A2735D1">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本项目于20</w:t>
      </w:r>
      <w:r>
        <w:rPr>
          <w:rFonts w:hint="eastAsia" w:ascii="仿宋" w:hAnsi="仿宋" w:eastAsia="仿宋" w:cs="仿宋"/>
          <w:color w:val="auto"/>
          <w:sz w:val="24"/>
          <w:szCs w:val="24"/>
          <w:highlight w:val="none"/>
          <w:lang w:val="en-US" w:eastAsia="zh-CN"/>
        </w:rPr>
        <w:t>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月开工建设，202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月建成</w:t>
      </w:r>
      <w:r>
        <w:rPr>
          <w:rFonts w:hint="eastAsia" w:ascii="仿宋" w:hAnsi="仿宋" w:eastAsia="仿宋" w:cs="仿宋"/>
          <w:color w:val="auto"/>
          <w:sz w:val="24"/>
          <w:szCs w:val="24"/>
          <w:highlight w:val="none"/>
          <w:lang w:val="en-US" w:eastAsia="zh-CN"/>
        </w:rPr>
        <w:t>并投入运营</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兰州汇丰石化有限公司</w:t>
      </w:r>
      <w:r>
        <w:rPr>
          <w:rFonts w:hint="eastAsia" w:ascii="仿宋" w:hAnsi="仿宋" w:eastAsia="仿宋" w:cs="仿宋"/>
          <w:color w:val="auto"/>
          <w:sz w:val="24"/>
          <w:szCs w:val="24"/>
          <w:highlight w:val="none"/>
        </w:rPr>
        <w:t>对照环评报告</w:t>
      </w:r>
      <w:r>
        <w:rPr>
          <w:rFonts w:hint="eastAsia" w:ascii="仿宋" w:hAnsi="仿宋" w:eastAsia="仿宋" w:cs="仿宋"/>
          <w:color w:val="auto"/>
          <w:sz w:val="24"/>
          <w:szCs w:val="24"/>
          <w:highlight w:val="none"/>
          <w:lang w:val="en-US" w:eastAsia="zh-CN"/>
        </w:rPr>
        <w:t>表</w:t>
      </w:r>
      <w:r>
        <w:rPr>
          <w:rFonts w:hint="eastAsia" w:ascii="仿宋" w:hAnsi="仿宋" w:eastAsia="仿宋" w:cs="仿宋"/>
          <w:color w:val="auto"/>
          <w:sz w:val="24"/>
          <w:szCs w:val="24"/>
          <w:highlight w:val="none"/>
        </w:rPr>
        <w:t>要求对本项目环保设施建设和环保措施落实情况进行自查，于</w:t>
      </w:r>
      <w:r>
        <w:rPr>
          <w:rFonts w:hint="eastAsia" w:ascii="仿宋" w:hAnsi="仿宋" w:eastAsia="仿宋" w:cs="仿宋"/>
          <w:color w:val="auto"/>
          <w:sz w:val="24"/>
          <w:szCs w:val="24"/>
          <w:highlight w:val="none"/>
          <w:lang w:val="en-US" w:eastAsia="zh-CN"/>
        </w:rPr>
        <w:t>2026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月委托甘肃碧康环保技术有限公司编制本工程竣工环境保护验收</w:t>
      </w:r>
      <w:r>
        <w:rPr>
          <w:rFonts w:hint="eastAsia" w:ascii="仿宋" w:hAnsi="仿宋" w:eastAsia="仿宋" w:cs="仿宋"/>
          <w:color w:val="auto"/>
          <w:sz w:val="24"/>
          <w:szCs w:val="24"/>
          <w:highlight w:val="none"/>
          <w:lang w:val="en-US" w:eastAsia="zh-CN"/>
        </w:rPr>
        <w:t>监测</w:t>
      </w:r>
      <w:r>
        <w:rPr>
          <w:rFonts w:hint="eastAsia" w:ascii="仿宋" w:hAnsi="仿宋" w:eastAsia="仿宋" w:cs="仿宋"/>
          <w:color w:val="auto"/>
          <w:sz w:val="24"/>
          <w:szCs w:val="24"/>
          <w:highlight w:val="none"/>
        </w:rPr>
        <w:t>报告</w:t>
      </w:r>
      <w:r>
        <w:rPr>
          <w:rFonts w:hint="eastAsia" w:ascii="仿宋" w:hAnsi="仿宋" w:eastAsia="仿宋" w:cs="仿宋"/>
          <w:color w:val="auto"/>
          <w:sz w:val="24"/>
          <w:szCs w:val="24"/>
          <w:highlight w:val="none"/>
          <w:lang w:val="en-US" w:eastAsia="zh-CN"/>
        </w:rPr>
        <w:t>表</w:t>
      </w:r>
      <w:r>
        <w:rPr>
          <w:rFonts w:hint="eastAsia" w:ascii="仿宋" w:hAnsi="仿宋" w:eastAsia="仿宋" w:cs="仿宋"/>
          <w:color w:val="auto"/>
          <w:sz w:val="24"/>
          <w:szCs w:val="24"/>
          <w:highlight w:val="none"/>
        </w:rPr>
        <w:t>，委托</w:t>
      </w:r>
      <w:r>
        <w:rPr>
          <w:rFonts w:hint="eastAsia" w:ascii="仿宋" w:hAnsi="仿宋" w:eastAsia="仿宋" w:cs="仿宋"/>
          <w:color w:val="auto"/>
          <w:sz w:val="24"/>
          <w:szCs w:val="24"/>
          <w:highlight w:val="none"/>
          <w:lang w:val="en-US" w:eastAsia="zh-CN"/>
        </w:rPr>
        <w:t>甘肃隆宇检测科技有限公司</w:t>
      </w:r>
      <w:r>
        <w:rPr>
          <w:rFonts w:hint="eastAsia" w:ascii="仿宋" w:hAnsi="仿宋" w:eastAsia="仿宋" w:cs="仿宋"/>
          <w:color w:val="auto"/>
          <w:sz w:val="24"/>
          <w:szCs w:val="24"/>
          <w:highlight w:val="none"/>
        </w:rPr>
        <w:t>对本工程进行了验收</w:t>
      </w:r>
      <w:r>
        <w:rPr>
          <w:rFonts w:hint="eastAsia" w:ascii="仿宋" w:hAnsi="仿宋" w:eastAsia="仿宋" w:cs="仿宋"/>
          <w:color w:val="auto"/>
          <w:sz w:val="24"/>
          <w:szCs w:val="24"/>
          <w:highlight w:val="none"/>
          <w:lang w:val="en-US" w:eastAsia="zh-CN"/>
        </w:rPr>
        <w:t>监</w:t>
      </w:r>
      <w:r>
        <w:rPr>
          <w:rFonts w:hint="eastAsia" w:ascii="仿宋" w:hAnsi="仿宋" w:eastAsia="仿宋" w:cs="仿宋"/>
          <w:color w:val="auto"/>
          <w:sz w:val="24"/>
          <w:szCs w:val="24"/>
          <w:highlight w:val="none"/>
        </w:rPr>
        <w:t>测。</w:t>
      </w:r>
    </w:p>
    <w:p w14:paraId="14942EBD">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甘肃碧康环保技术有限公司相关技术人员</w:t>
      </w:r>
      <w:r>
        <w:rPr>
          <w:rFonts w:hint="eastAsia" w:ascii="仿宋" w:hAnsi="仿宋" w:eastAsia="仿宋" w:cs="仿宋"/>
          <w:color w:val="auto"/>
          <w:sz w:val="24"/>
          <w:szCs w:val="24"/>
          <w:highlight w:val="none"/>
          <w:lang w:val="en-US" w:eastAsia="zh-CN"/>
        </w:rPr>
        <w:t>自2026年6月</w:t>
      </w:r>
      <w:r>
        <w:rPr>
          <w:rFonts w:hint="eastAsia" w:ascii="仿宋" w:hAnsi="仿宋" w:eastAsia="仿宋" w:cs="仿宋"/>
          <w:color w:val="auto"/>
          <w:sz w:val="24"/>
          <w:szCs w:val="24"/>
          <w:highlight w:val="none"/>
        </w:rPr>
        <w:t>对本工程进行了现场踏勘，核实了该项目建设内容及相应环保设施及措施落实情况，在此基础上，结合国家有关建设项目竣工环境保护验收监测工作的技术要求，编制了该项目验收监测方案并对存在的问题向我</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提出了</w:t>
      </w:r>
      <w:r>
        <w:rPr>
          <w:rFonts w:hint="eastAsia" w:ascii="仿宋" w:hAnsi="仿宋" w:eastAsia="仿宋" w:cs="仿宋"/>
          <w:color w:val="auto"/>
          <w:sz w:val="24"/>
          <w:szCs w:val="24"/>
          <w:highlight w:val="none"/>
          <w:lang w:val="en-US" w:eastAsia="zh-CN"/>
        </w:rPr>
        <w:t>情况说明</w:t>
      </w:r>
      <w:r>
        <w:rPr>
          <w:rFonts w:hint="eastAsia" w:ascii="仿宋" w:hAnsi="仿宋" w:eastAsia="仿宋" w:cs="仿宋"/>
          <w:color w:val="auto"/>
          <w:sz w:val="24"/>
          <w:szCs w:val="24"/>
          <w:highlight w:val="none"/>
        </w:rPr>
        <w:t>；依据制定的验收监测方案，</w:t>
      </w:r>
      <w:r>
        <w:rPr>
          <w:rFonts w:hint="eastAsia" w:ascii="仿宋" w:hAnsi="仿宋" w:eastAsia="仿宋" w:cs="仿宋"/>
          <w:color w:val="auto"/>
          <w:sz w:val="24"/>
          <w:szCs w:val="24"/>
          <w:highlight w:val="none"/>
          <w:lang w:val="en-US" w:eastAsia="zh-CN"/>
        </w:rPr>
        <w:t>甘肃隆宇检测科技有限公司</w:t>
      </w:r>
      <w:r>
        <w:rPr>
          <w:rFonts w:hint="eastAsia" w:ascii="仿宋" w:hAnsi="仿宋" w:eastAsia="仿宋" w:cs="仿宋"/>
          <w:color w:val="auto"/>
          <w:sz w:val="24"/>
          <w:szCs w:val="24"/>
          <w:highlight w:val="none"/>
        </w:rPr>
        <w:t>于202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27</w:t>
      </w:r>
      <w:r>
        <w:rPr>
          <w:rFonts w:hint="eastAsia" w:ascii="仿宋" w:hAnsi="仿宋" w:eastAsia="仿宋" w:cs="仿宋"/>
          <w:color w:val="auto"/>
          <w:sz w:val="24"/>
          <w:szCs w:val="24"/>
          <w:highlight w:val="none"/>
        </w:rPr>
        <w:t>日-</w:t>
      </w:r>
      <w:r>
        <w:rPr>
          <w:rFonts w:hint="eastAsia" w:ascii="仿宋" w:hAnsi="仿宋" w:eastAsia="仿宋" w:cs="仿宋"/>
          <w:color w:val="auto"/>
          <w:sz w:val="24"/>
          <w:szCs w:val="24"/>
          <w:highlight w:val="none"/>
          <w:lang w:val="en-US" w:eastAsia="zh-CN"/>
        </w:rPr>
        <w:t>28</w:t>
      </w:r>
      <w:r>
        <w:rPr>
          <w:rFonts w:hint="eastAsia" w:ascii="仿宋" w:hAnsi="仿宋" w:eastAsia="仿宋" w:cs="仿宋"/>
          <w:color w:val="auto"/>
          <w:sz w:val="24"/>
          <w:szCs w:val="24"/>
          <w:highlight w:val="none"/>
        </w:rPr>
        <w:t>日开展了监测。根据现场核实结果、相关工程资料以及检测报告，甘肃碧康环保技术有限公司编制完成了《</w:t>
      </w:r>
      <w:r>
        <w:rPr>
          <w:rFonts w:hint="eastAsia" w:ascii="仿宋" w:hAnsi="仿宋" w:eastAsia="仿宋" w:cs="仿宋"/>
          <w:color w:val="auto"/>
          <w:sz w:val="24"/>
          <w:szCs w:val="24"/>
          <w:highlight w:val="none"/>
          <w:lang w:val="en-US" w:eastAsia="zh-CN"/>
        </w:rPr>
        <w:t>兰州汇丰石化有限公司芳烃车间危废暂存库项目</w:t>
      </w:r>
      <w:r>
        <w:rPr>
          <w:rFonts w:hint="eastAsia" w:ascii="仿宋" w:hAnsi="仿宋" w:eastAsia="仿宋" w:cs="仿宋"/>
          <w:color w:val="auto"/>
          <w:sz w:val="24"/>
          <w:szCs w:val="24"/>
          <w:highlight w:val="none"/>
        </w:rPr>
        <w:t>竣工环境保护验收监测报告表》。</w:t>
      </w:r>
    </w:p>
    <w:p w14:paraId="1EC375F9">
      <w:pPr>
        <w:pStyle w:val="19"/>
        <w:spacing w:before="0" w:beforeAutospacing="0" w:after="0" w:afterAutospacing="0" w:line="500" w:lineRule="exact"/>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8</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17</w:t>
      </w:r>
      <w:r>
        <w:rPr>
          <w:rFonts w:hint="eastAsia" w:ascii="仿宋" w:hAnsi="仿宋" w:eastAsia="仿宋" w:cs="仿宋"/>
          <w:color w:val="auto"/>
          <w:highlight w:val="none"/>
        </w:rPr>
        <w:t>日我</w:t>
      </w:r>
      <w:r>
        <w:rPr>
          <w:rFonts w:hint="eastAsia" w:ascii="仿宋" w:hAnsi="仿宋" w:eastAsia="仿宋" w:cs="仿宋"/>
          <w:color w:val="auto"/>
          <w:highlight w:val="none"/>
          <w:lang w:val="en-US" w:eastAsia="zh-CN"/>
        </w:rPr>
        <w:t>单位</w:t>
      </w:r>
      <w:r>
        <w:rPr>
          <w:rFonts w:hint="eastAsia" w:ascii="仿宋" w:hAnsi="仿宋" w:eastAsia="仿宋" w:cs="仿宋"/>
          <w:color w:val="auto"/>
          <w:highlight w:val="none"/>
        </w:rPr>
        <w:t>组织召开了</w:t>
      </w:r>
      <w:r>
        <w:rPr>
          <w:rFonts w:hint="eastAsia" w:ascii="仿宋" w:hAnsi="仿宋" w:eastAsia="仿宋" w:cs="仿宋"/>
          <w:color w:val="auto"/>
          <w:sz w:val="24"/>
          <w:szCs w:val="24"/>
          <w:highlight w:val="none"/>
          <w:lang w:val="en-US" w:eastAsia="zh-CN"/>
        </w:rPr>
        <w:t>兰州汇丰石化有限公司芳烃车间危废暂存库项目</w:t>
      </w:r>
      <w:r>
        <w:rPr>
          <w:rFonts w:hint="eastAsia" w:ascii="仿宋" w:hAnsi="仿宋" w:eastAsia="仿宋" w:cs="仿宋"/>
          <w:color w:val="auto"/>
          <w:highlight w:val="none"/>
        </w:rPr>
        <w:t>竣工环境保护验收</w:t>
      </w:r>
      <w:r>
        <w:rPr>
          <w:rFonts w:hint="eastAsia" w:ascii="仿宋" w:hAnsi="仿宋" w:eastAsia="仿宋" w:cs="仿宋"/>
          <w:color w:val="auto"/>
          <w:highlight w:val="none"/>
          <w:lang w:val="en-US" w:eastAsia="zh-CN"/>
        </w:rPr>
        <w:t>评审</w:t>
      </w:r>
      <w:r>
        <w:rPr>
          <w:rFonts w:hint="eastAsia" w:ascii="仿宋" w:hAnsi="仿宋" w:eastAsia="仿宋" w:cs="仿宋"/>
          <w:color w:val="auto"/>
          <w:highlight w:val="none"/>
        </w:rPr>
        <w:t>会议，现场验收工作组由建设单位—</w:t>
      </w:r>
      <w:r>
        <w:rPr>
          <w:rFonts w:hint="eastAsia" w:ascii="仿宋" w:hAnsi="仿宋" w:eastAsia="仿宋" w:cs="仿宋"/>
          <w:color w:val="auto"/>
          <w:sz w:val="24"/>
          <w:szCs w:val="24"/>
          <w:highlight w:val="none"/>
          <w:lang w:val="en-US" w:eastAsia="zh-CN"/>
        </w:rPr>
        <w:t>兰州汇丰石化有限公司</w:t>
      </w:r>
      <w:r>
        <w:rPr>
          <w:rFonts w:hint="eastAsia" w:ascii="仿宋" w:hAnsi="仿宋" w:eastAsia="仿宋" w:cs="仿宋"/>
          <w:color w:val="auto"/>
          <w:highlight w:val="none"/>
        </w:rPr>
        <w:t>、验收</w:t>
      </w:r>
      <w:r>
        <w:rPr>
          <w:rFonts w:hint="eastAsia" w:ascii="仿宋" w:hAnsi="仿宋" w:eastAsia="仿宋" w:cs="仿宋"/>
          <w:color w:val="auto"/>
          <w:highlight w:val="none"/>
          <w:lang w:val="en-US" w:eastAsia="zh-CN"/>
        </w:rPr>
        <w:t>监测</w:t>
      </w:r>
      <w:r>
        <w:rPr>
          <w:rFonts w:hint="eastAsia" w:ascii="仿宋" w:hAnsi="仿宋" w:eastAsia="仿宋" w:cs="仿宋"/>
          <w:color w:val="auto"/>
          <w:highlight w:val="none"/>
        </w:rPr>
        <w:t>报告</w:t>
      </w:r>
      <w:r>
        <w:rPr>
          <w:rFonts w:hint="eastAsia" w:ascii="仿宋" w:hAnsi="仿宋" w:eastAsia="仿宋" w:cs="仿宋"/>
          <w:color w:val="auto"/>
          <w:highlight w:val="none"/>
          <w:lang w:val="en-US" w:eastAsia="zh-CN"/>
        </w:rPr>
        <w:t>表</w:t>
      </w:r>
      <w:r>
        <w:rPr>
          <w:rFonts w:hint="eastAsia" w:ascii="仿宋" w:hAnsi="仿宋" w:eastAsia="仿宋" w:cs="仿宋"/>
          <w:color w:val="auto"/>
          <w:highlight w:val="none"/>
        </w:rPr>
        <w:t>编制单位—</w:t>
      </w:r>
      <w:r>
        <w:rPr>
          <w:rFonts w:hint="eastAsia" w:ascii="仿宋" w:hAnsi="仿宋" w:eastAsia="仿宋" w:cs="仿宋"/>
          <w:color w:val="auto"/>
          <w:sz w:val="24"/>
          <w:szCs w:val="24"/>
          <w:highlight w:val="none"/>
        </w:rPr>
        <w:t>甘肃碧康环保技术有限公司</w:t>
      </w:r>
      <w:r>
        <w:rPr>
          <w:rFonts w:hint="eastAsia" w:ascii="仿宋" w:hAnsi="仿宋" w:eastAsia="仿宋" w:cs="仿宋"/>
          <w:color w:val="auto"/>
          <w:highlight w:val="none"/>
        </w:rPr>
        <w:t>等单位代表及邀请</w:t>
      </w:r>
      <w:r>
        <w:rPr>
          <w:rFonts w:hint="eastAsia" w:ascii="仿宋" w:hAnsi="仿宋" w:eastAsia="仿宋" w:cs="仿宋"/>
          <w:color w:val="auto"/>
          <w:highlight w:val="none"/>
          <w:lang w:val="en-US" w:eastAsia="zh-CN"/>
        </w:rPr>
        <w:t>3</w:t>
      </w:r>
      <w:r>
        <w:rPr>
          <w:rFonts w:hint="eastAsia" w:ascii="仿宋" w:hAnsi="仿宋" w:eastAsia="仿宋" w:cs="仿宋"/>
          <w:color w:val="auto"/>
          <w:highlight w:val="none"/>
        </w:rPr>
        <w:t>名专家组成。</w:t>
      </w:r>
    </w:p>
    <w:p w14:paraId="5CE9675B">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验收会议意见认为：</w:t>
      </w:r>
      <w:r>
        <w:rPr>
          <w:rFonts w:hint="eastAsia" w:ascii="仿宋" w:hAnsi="仿宋" w:eastAsia="仿宋" w:cs="仿宋"/>
          <w:color w:val="auto"/>
          <w:sz w:val="24"/>
          <w:szCs w:val="24"/>
          <w:highlight w:val="none"/>
          <w:lang w:val="en-US" w:eastAsia="zh-CN"/>
        </w:rPr>
        <w:t>兰州汇丰石化有限公司芳烃车间危废暂存库项目</w:t>
      </w:r>
      <w:r>
        <w:rPr>
          <w:rFonts w:hint="eastAsia" w:ascii="仿宋" w:hAnsi="仿宋" w:eastAsia="仿宋" w:cs="仿宋"/>
          <w:color w:val="auto"/>
          <w:sz w:val="24"/>
          <w:szCs w:val="24"/>
          <w:highlight w:val="none"/>
        </w:rPr>
        <w:t>建设地点、建设规模、建设性质和主要环保设施均未发生重大变动，项目的环境保护设施基本满足“三同时”要求，验收组同意通过竣工环境保护验收。</w:t>
      </w:r>
    </w:p>
    <w:p w14:paraId="6157B6D9">
      <w:pPr>
        <w:pStyle w:val="19"/>
        <w:spacing w:before="0" w:beforeAutospacing="0" w:after="0" w:afterAutospacing="0" w:line="500" w:lineRule="exact"/>
        <w:ind w:firstLine="480" w:firstLineChars="200"/>
        <w:jc w:val="both"/>
        <w:rPr>
          <w:rFonts w:hint="eastAsia" w:ascii="仿宋" w:hAnsi="仿宋" w:eastAsia="仿宋" w:cs="仿宋"/>
          <w:color w:val="auto"/>
          <w:highlight w:val="none"/>
        </w:rPr>
      </w:pPr>
      <w:r>
        <w:rPr>
          <w:rFonts w:hint="eastAsia" w:ascii="仿宋" w:hAnsi="仿宋" w:eastAsia="仿宋" w:cs="仿宋"/>
          <w:color w:val="auto"/>
          <w:highlight w:val="none"/>
        </w:rPr>
        <w:t>验收会议意见指出：本工程在后续运营中应进一步落实生态环境主体责任，健全生态环境管理制度</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加强运营期跟踪监测。</w:t>
      </w:r>
    </w:p>
    <w:p w14:paraId="6C11FAC8">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验收会议后，验收</w:t>
      </w:r>
      <w:r>
        <w:rPr>
          <w:rFonts w:hint="eastAsia" w:ascii="仿宋" w:hAnsi="仿宋" w:eastAsia="仿宋" w:cs="仿宋"/>
          <w:color w:val="auto"/>
          <w:sz w:val="24"/>
          <w:szCs w:val="24"/>
          <w:highlight w:val="none"/>
          <w:lang w:val="en-US" w:eastAsia="zh-CN"/>
        </w:rPr>
        <w:t>监测报告表</w:t>
      </w:r>
      <w:r>
        <w:rPr>
          <w:rFonts w:hint="eastAsia" w:ascii="仿宋" w:hAnsi="仿宋" w:eastAsia="仿宋" w:cs="仿宋"/>
          <w:color w:val="auto"/>
          <w:sz w:val="24"/>
          <w:szCs w:val="24"/>
          <w:highlight w:val="none"/>
        </w:rPr>
        <w:t>编制单位根据验收会议意见对《</w:t>
      </w:r>
      <w:r>
        <w:rPr>
          <w:rFonts w:hint="eastAsia" w:ascii="仿宋" w:hAnsi="仿宋" w:eastAsia="仿宋" w:cs="仿宋"/>
          <w:color w:val="auto"/>
          <w:sz w:val="24"/>
          <w:szCs w:val="24"/>
          <w:highlight w:val="none"/>
          <w:lang w:val="en-US" w:eastAsia="zh-CN"/>
        </w:rPr>
        <w:t>兰州汇丰石化有限公司芳烃车间危废暂存库项目</w:t>
      </w:r>
      <w:r>
        <w:rPr>
          <w:rFonts w:hint="eastAsia" w:ascii="仿宋" w:hAnsi="仿宋" w:eastAsia="仿宋" w:cs="仿宋"/>
          <w:color w:val="auto"/>
          <w:sz w:val="24"/>
          <w:szCs w:val="24"/>
          <w:highlight w:val="none"/>
        </w:rPr>
        <w:t>竣工环境保护验收</w:t>
      </w:r>
      <w:r>
        <w:rPr>
          <w:rFonts w:hint="eastAsia" w:ascii="仿宋" w:hAnsi="仿宋" w:eastAsia="仿宋" w:cs="仿宋"/>
          <w:color w:val="auto"/>
          <w:sz w:val="24"/>
          <w:szCs w:val="24"/>
          <w:highlight w:val="none"/>
          <w:lang w:val="en-US" w:eastAsia="zh-CN"/>
        </w:rPr>
        <w:t>监测</w:t>
      </w:r>
      <w:r>
        <w:rPr>
          <w:rFonts w:hint="eastAsia" w:ascii="仿宋" w:hAnsi="仿宋" w:eastAsia="仿宋" w:cs="仿宋"/>
          <w:color w:val="auto"/>
          <w:sz w:val="24"/>
          <w:szCs w:val="24"/>
          <w:highlight w:val="none"/>
        </w:rPr>
        <w:t>报告</w:t>
      </w:r>
      <w:r>
        <w:rPr>
          <w:rFonts w:hint="eastAsia" w:ascii="仿宋" w:hAnsi="仿宋" w:eastAsia="仿宋" w:cs="仿宋"/>
          <w:color w:val="auto"/>
          <w:sz w:val="24"/>
          <w:szCs w:val="24"/>
          <w:highlight w:val="none"/>
          <w:lang w:val="en-US" w:eastAsia="zh-CN"/>
        </w:rPr>
        <w:t>表</w:t>
      </w:r>
      <w:r>
        <w:rPr>
          <w:rFonts w:hint="eastAsia" w:ascii="仿宋" w:hAnsi="仿宋" w:eastAsia="仿宋" w:cs="仿宋"/>
          <w:color w:val="auto"/>
          <w:sz w:val="24"/>
          <w:szCs w:val="24"/>
          <w:highlight w:val="none"/>
        </w:rPr>
        <w:t>》进行了修改完善，形成验收</w:t>
      </w:r>
      <w:r>
        <w:rPr>
          <w:rFonts w:hint="eastAsia" w:ascii="仿宋" w:hAnsi="仿宋" w:eastAsia="仿宋" w:cs="仿宋"/>
          <w:color w:val="auto"/>
          <w:sz w:val="24"/>
          <w:szCs w:val="24"/>
          <w:highlight w:val="none"/>
          <w:lang w:val="en-US" w:eastAsia="zh-CN"/>
        </w:rPr>
        <w:t>监测</w:t>
      </w:r>
      <w:r>
        <w:rPr>
          <w:rFonts w:hint="eastAsia" w:ascii="仿宋" w:hAnsi="仿宋" w:eastAsia="仿宋" w:cs="仿宋"/>
          <w:color w:val="auto"/>
          <w:sz w:val="24"/>
          <w:szCs w:val="24"/>
          <w:highlight w:val="none"/>
        </w:rPr>
        <w:t>报告</w:t>
      </w:r>
      <w:r>
        <w:rPr>
          <w:rFonts w:hint="eastAsia" w:ascii="仿宋" w:hAnsi="仿宋" w:eastAsia="仿宋" w:cs="仿宋"/>
          <w:color w:val="auto"/>
          <w:sz w:val="24"/>
          <w:szCs w:val="24"/>
          <w:highlight w:val="none"/>
          <w:lang w:val="en-US" w:eastAsia="zh-CN"/>
        </w:rPr>
        <w:t>表最</w:t>
      </w:r>
      <w:r>
        <w:rPr>
          <w:rFonts w:hint="eastAsia" w:ascii="仿宋" w:hAnsi="仿宋" w:eastAsia="仿宋" w:cs="仿宋"/>
          <w:color w:val="auto"/>
          <w:sz w:val="24"/>
          <w:szCs w:val="24"/>
          <w:highlight w:val="none"/>
        </w:rPr>
        <w:t>终稿。</w:t>
      </w:r>
    </w:p>
    <w:p w14:paraId="2C9677B2">
      <w:pPr>
        <w:pStyle w:val="3"/>
        <w:keepNext w:val="0"/>
        <w:widowControl/>
        <w:spacing w:before="120" w:after="120" w:line="360" w:lineRule="auto"/>
        <w:rPr>
          <w:rFonts w:hint="eastAsia" w:ascii="仿宋" w:hAnsi="仿宋" w:eastAsia="仿宋" w:cs="仿宋"/>
          <w:b/>
          <w:color w:val="auto"/>
          <w:sz w:val="30"/>
          <w:highlight w:val="none"/>
          <w:lang w:val="en-US"/>
        </w:rPr>
      </w:pPr>
      <w:r>
        <w:rPr>
          <w:rFonts w:hint="eastAsia" w:ascii="仿宋" w:hAnsi="仿宋" w:eastAsia="仿宋" w:cs="仿宋"/>
          <w:b/>
          <w:color w:val="auto"/>
          <w:sz w:val="30"/>
          <w:highlight w:val="none"/>
          <w:lang w:val="en-US"/>
        </w:rPr>
        <w:t>1.4公众反馈意见及处理情况</w:t>
      </w:r>
    </w:p>
    <w:p w14:paraId="3438DE39">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项目设计、施工和验收期间没有收到过公众反馈意见或投诉。</w:t>
      </w:r>
    </w:p>
    <w:p w14:paraId="55A0C3C4">
      <w:pPr>
        <w:pStyle w:val="2"/>
        <w:rPr>
          <w:rFonts w:hint="eastAsia" w:ascii="仿宋" w:hAnsi="仿宋" w:eastAsia="仿宋" w:cs="仿宋"/>
          <w:color w:val="auto"/>
          <w:highlight w:val="none"/>
        </w:rPr>
      </w:pPr>
      <w:r>
        <w:rPr>
          <w:rFonts w:hint="eastAsia" w:ascii="仿宋" w:hAnsi="仿宋" w:eastAsia="仿宋" w:cs="仿宋"/>
          <w:color w:val="auto"/>
          <w:highlight w:val="none"/>
        </w:rPr>
        <w:t>2其他环境保护措施的落实情况</w:t>
      </w:r>
    </w:p>
    <w:p w14:paraId="6E84B56D">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环境影响报告表及其审批部门审批决定中提出的，除环境保护设施外的其他环境保护措施，主要包括制度措施和配套措施等，现将需要说明的措施内容和要求梳理如下：</w:t>
      </w:r>
    </w:p>
    <w:p w14:paraId="3FC00B2D">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（1）环保组织机构及规章制度</w:t>
      </w:r>
    </w:p>
    <w:p w14:paraId="232DB21B">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①环境管理机构</w:t>
      </w:r>
    </w:p>
    <w:p w14:paraId="0B6816A2">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环境管理部门，由兰州汇丰石化有限公司安环部负责，项目组已经建立环境管理体系和相应的管理组织机构。本项目建立有危险废物管理制度、危险废物污染环境防治责任制度、危险废物安全操作规程、危险废物台账管理制度等 。</w:t>
      </w:r>
    </w:p>
    <w:p w14:paraId="0EA8AFBC">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兰州汇丰石化有限公司设置安全环保部科承担项目的安全环保工作，并下设办公室，安排1名环保专职人员负责本项目的环保工作，环境保护管理机构健全。制定了各部门环保管理规章制度，包括各岗位职责、安全操作制度、值班和定期调度会规定、各工种职责、操作管理制度、各工序操作规程等，并做到制度上墙，在运行中严格按规章制度执行，环保管理制度基本健全，内容全面。</w:t>
      </w:r>
    </w:p>
    <w:p w14:paraId="36F8C9B7">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②环境管理主要任务</w:t>
      </w:r>
    </w:p>
    <w:p w14:paraId="1BDBEE2B">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落实环境管理制度；制定环保经济责任考核制度，提高各部门对环境保护的责任感；强化专业人员培训；制定环境保护设施运行及处理能力档案，由专人对相关环保设施运行情况进行管理。</w:t>
      </w:r>
    </w:p>
    <w:p w14:paraId="3C8E22D0">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根据本次验收现场及企业调查情况，该项目相关环境管理要求已基本实施。</w:t>
      </w:r>
    </w:p>
    <w:p w14:paraId="46233839">
      <w:pPr>
        <w:widowControl w:val="0"/>
        <w:adjustRightInd/>
        <w:snapToGrid/>
        <w:spacing w:after="0" w:line="360" w:lineRule="auto"/>
        <w:ind w:firstLine="480" w:firstLineChars="200"/>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（2）环境风险防范措施</w:t>
      </w:r>
    </w:p>
    <w:p w14:paraId="724EE7E2">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根据调查，设置有防渗托盘，以防止废机油等危废泄漏对环境造成影响。设置禁止明火等标识，并配备灭火器等消防器材和物资。建设单位制定了环境突发事故应急预案（含危险废物暂存库），按其配备了相应的应急物资和应急设备，并定期进行演练；一旦突发环境风险事故，立即按应急预案提到的紧急处理、救援、监测方案等进行紧急救援，救援人员采取相应的防护措施，以避免造成人员伤亡事故。</w:t>
      </w:r>
    </w:p>
    <w:p w14:paraId="78BB1BC9">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改造后各分区之间均设有10cm高围堰，液体暂存区配套托盘和吸油毡，发生泄漏时可在围堰内收集，收集后由吸油毡吸收残余。</w:t>
      </w:r>
    </w:p>
    <w:p w14:paraId="5B27098A">
      <w:pPr>
        <w:autoSpaceDE w:val="0"/>
        <w:autoSpaceDN w:val="0"/>
        <w:spacing w:after="0"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环境监测计划</w:t>
      </w:r>
    </w:p>
    <w:p w14:paraId="427D2C15">
      <w:pPr>
        <w:autoSpaceDE w:val="0"/>
        <w:autoSpaceDN w:val="0"/>
        <w:spacing w:after="0" w:line="500" w:lineRule="exact"/>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根据验收监测报告，</w:t>
      </w:r>
      <w:r>
        <w:rPr>
          <w:rFonts w:hint="eastAsia" w:ascii="仿宋" w:hAnsi="仿宋" w:eastAsia="仿宋" w:cs="仿宋"/>
          <w:color w:val="auto"/>
          <w:sz w:val="24"/>
          <w:szCs w:val="24"/>
          <w:highlight w:val="none"/>
        </w:rPr>
        <w:t>我</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制定了</w:t>
      </w:r>
      <w:r>
        <w:rPr>
          <w:rFonts w:hint="eastAsia" w:ascii="仿宋" w:hAnsi="仿宋" w:eastAsia="仿宋" w:cs="仿宋"/>
          <w:color w:val="auto"/>
          <w:sz w:val="24"/>
          <w:szCs w:val="24"/>
          <w:highlight w:val="none"/>
          <w:lang w:val="en-US" w:eastAsia="zh-CN"/>
        </w:rPr>
        <w:t>运营期环境监测计划，后续针对无组织废气</w:t>
      </w:r>
      <w:r>
        <w:rPr>
          <w:rFonts w:hint="eastAsia" w:ascii="仿宋" w:hAnsi="仿宋" w:eastAsia="仿宋" w:cs="仿宋"/>
          <w:color w:val="auto"/>
          <w:sz w:val="24"/>
          <w:szCs w:val="24"/>
          <w:highlight w:val="none"/>
        </w:rPr>
        <w:t>实施</w:t>
      </w:r>
      <w:r>
        <w:rPr>
          <w:rFonts w:hint="eastAsia" w:ascii="仿宋" w:hAnsi="仿宋" w:eastAsia="仿宋" w:cs="仿宋"/>
          <w:color w:val="auto"/>
          <w:sz w:val="24"/>
          <w:szCs w:val="24"/>
          <w:highlight w:val="none"/>
          <w:lang w:val="en-US" w:eastAsia="zh-CN"/>
        </w:rPr>
        <w:t>废气</w:t>
      </w:r>
      <w:r>
        <w:rPr>
          <w:rFonts w:hint="eastAsia" w:ascii="仿宋" w:hAnsi="仿宋" w:eastAsia="仿宋" w:cs="仿宋"/>
          <w:color w:val="auto"/>
          <w:sz w:val="24"/>
          <w:szCs w:val="24"/>
          <w:highlight w:val="none"/>
        </w:rPr>
        <w:t>跟踪监测。</w:t>
      </w:r>
    </w:p>
    <w:p w14:paraId="1B319B2B">
      <w:pPr>
        <w:pStyle w:val="2"/>
        <w:rPr>
          <w:rFonts w:hint="eastAsia" w:ascii="仿宋" w:hAnsi="仿宋" w:eastAsia="仿宋" w:cs="仿宋"/>
          <w:color w:val="auto"/>
          <w:highlight w:val="none"/>
        </w:rPr>
      </w:pPr>
      <w:r>
        <w:rPr>
          <w:rFonts w:hint="eastAsia" w:ascii="仿宋" w:hAnsi="仿宋" w:eastAsia="仿宋" w:cs="仿宋"/>
          <w:color w:val="auto"/>
          <w:highlight w:val="none"/>
        </w:rPr>
        <w:t>3整改工作情况</w:t>
      </w:r>
    </w:p>
    <w:p w14:paraId="1B916C63">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本项目在建设中认真执行了国家和地方有关环境保护法律法规，该工程环评文件、环保设计提出的措施和兰州市生态环境局对项目批复的各项要求基本上得到落实，无需进行整改。</w:t>
      </w:r>
    </w:p>
    <w:p w14:paraId="226577FB">
      <w:pPr>
        <w:pStyle w:val="2"/>
        <w:rPr>
          <w:rFonts w:hint="eastAsia" w:ascii="仿宋" w:hAnsi="仿宋" w:eastAsia="仿宋" w:cs="仿宋"/>
          <w:color w:val="auto"/>
          <w:highlight w:val="none"/>
        </w:rPr>
      </w:pPr>
      <w:r>
        <w:rPr>
          <w:rFonts w:hint="eastAsia" w:ascii="仿宋" w:hAnsi="仿宋" w:eastAsia="仿宋" w:cs="仿宋"/>
          <w:color w:val="auto"/>
          <w:highlight w:val="none"/>
        </w:rPr>
        <w:t>4、其他</w:t>
      </w:r>
    </w:p>
    <w:p w14:paraId="17D05F5B">
      <w:pPr>
        <w:autoSpaceDE w:val="0"/>
        <w:autoSpaceDN w:val="0"/>
        <w:spacing w:after="0" w:line="500" w:lineRule="exact"/>
        <w:ind w:firstLine="48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在后续运营中，</w:t>
      </w:r>
      <w:r>
        <w:rPr>
          <w:rFonts w:hint="eastAsia" w:ascii="仿宋" w:hAnsi="仿宋" w:eastAsia="仿宋" w:cs="仿宋"/>
          <w:color w:val="auto"/>
          <w:sz w:val="24"/>
          <w:szCs w:val="24"/>
          <w:highlight w:val="none"/>
          <w:lang w:val="en-US" w:eastAsia="zh-CN"/>
        </w:rPr>
        <w:t>我单位</w:t>
      </w:r>
      <w:r>
        <w:rPr>
          <w:rFonts w:hint="eastAsia" w:ascii="仿宋" w:hAnsi="仿宋" w:eastAsia="仿宋" w:cs="仿宋"/>
          <w:color w:val="auto"/>
          <w:sz w:val="24"/>
          <w:szCs w:val="24"/>
          <w:highlight w:val="none"/>
        </w:rPr>
        <w:t>将</w:t>
      </w:r>
      <w:r>
        <w:rPr>
          <w:rFonts w:hint="eastAsia" w:ascii="仿宋" w:hAnsi="仿宋" w:eastAsia="仿宋" w:cs="仿宋"/>
          <w:color w:val="auto"/>
          <w:sz w:val="24"/>
          <w:szCs w:val="24"/>
          <w:highlight w:val="none"/>
          <w:lang w:val="en-US" w:eastAsia="zh-CN"/>
        </w:rPr>
        <w:t>按照环评及验收要求，在后续运营中应进一步落实生态环境主体责任，健全生态环境管理制度。</w:t>
      </w:r>
    </w:p>
    <w:p w14:paraId="07426D2E">
      <w:pPr>
        <w:autoSpaceDE w:val="0"/>
        <w:autoSpaceDN w:val="0"/>
        <w:spacing w:after="0" w:line="500" w:lineRule="exact"/>
        <w:ind w:firstLine="480"/>
        <w:rPr>
          <w:rFonts w:hint="eastAsia" w:ascii="仿宋" w:hAnsi="仿宋" w:eastAsia="仿宋" w:cs="仿宋"/>
          <w:color w:val="auto"/>
          <w:sz w:val="24"/>
          <w:szCs w:val="24"/>
          <w:highlight w:val="none"/>
        </w:rPr>
      </w:pPr>
    </w:p>
    <w:p w14:paraId="6A1D8EB6">
      <w:pPr>
        <w:autoSpaceDE w:val="0"/>
        <w:autoSpaceDN w:val="0"/>
        <w:spacing w:after="0" w:line="500" w:lineRule="exact"/>
        <w:jc w:val="center"/>
        <w:rPr>
          <w:rFonts w:hint="eastAsia" w:ascii="仿宋" w:hAnsi="仿宋" w:eastAsia="仿宋" w:cs="仿宋"/>
          <w:color w:val="FF0000"/>
          <w:sz w:val="24"/>
          <w:szCs w:val="24"/>
          <w:highlight w:val="none"/>
        </w:rPr>
      </w:pPr>
      <w:r>
        <w:rPr>
          <w:rFonts w:hint="eastAsia" w:ascii="仿宋" w:hAnsi="仿宋" w:eastAsia="仿宋" w:cs="仿宋"/>
          <w:color w:val="auto"/>
          <w:sz w:val="24"/>
          <w:szCs w:val="24"/>
          <w:highlight w:val="none"/>
          <w:lang w:val="en-US" w:eastAsia="zh-CN"/>
        </w:rPr>
        <w:t xml:space="preserve">                                  兰州汇丰石化有限公司</w:t>
      </w:r>
    </w:p>
    <w:p w14:paraId="4FBFC251">
      <w:pPr>
        <w:autoSpaceDE w:val="0"/>
        <w:autoSpaceDN w:val="0"/>
        <w:spacing w:after="0" w:line="500" w:lineRule="exact"/>
        <w:ind w:firstLine="5520" w:firstLineChars="23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20</w:t>
      </w:r>
      <w:r>
        <w:rPr>
          <w:rFonts w:hint="eastAsia" w:ascii="仿宋" w:hAnsi="仿宋" w:eastAsia="仿宋" w:cs="仿宋"/>
          <w:color w:val="auto"/>
          <w:sz w:val="24"/>
          <w:szCs w:val="24"/>
          <w:highlight w:val="none"/>
          <w:lang w:val="en-US" w:eastAsia="zh-CN"/>
        </w:rPr>
        <w:t>26</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9</w:t>
      </w:r>
      <w:bookmarkStart w:id="0" w:name="_GoBack"/>
      <w:bookmarkEnd w:id="0"/>
      <w:r>
        <w:rPr>
          <w:rFonts w:hint="eastAsia" w:ascii="仿宋" w:hAnsi="仿宋" w:eastAsia="仿宋" w:cs="仿宋"/>
          <w:color w:val="auto"/>
          <w:sz w:val="24"/>
          <w:szCs w:val="24"/>
          <w:highlight w:val="none"/>
        </w:rPr>
        <w:t>日</w:t>
      </w: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AD7800">
    <w:pPr>
      <w:pStyle w:val="8"/>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62ED4813">
                <w:pPr>
                  <w:pStyle w:val="8"/>
                </w:pPr>
                <w:r>
                  <w:fldChar w:fldCharType="begin"/>
                </w:r>
                <w:r>
                  <w:instrText xml:space="preserve"> PAGE  \* MERGEFORMAT </w:instrText>
                </w:r>
                <w:r>
                  <w:fldChar w:fldCharType="separate"/>
                </w:r>
                <w:r>
                  <w:t>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3,4"/>
    </o:shapelayout>
  </w:hdrShapeDefaults>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YTI0M2ZjOGNmMjY0Zjc5YjRjMzFjZjQ2ZmNiMjMyZTUifQ=="/>
  </w:docVars>
  <w:rsids>
    <w:rsidRoot w:val="000F6119"/>
    <w:rsid w:val="000132A6"/>
    <w:rsid w:val="00032857"/>
    <w:rsid w:val="000E6CC8"/>
    <w:rsid w:val="000F6119"/>
    <w:rsid w:val="00123947"/>
    <w:rsid w:val="00124781"/>
    <w:rsid w:val="00186573"/>
    <w:rsid w:val="0018771C"/>
    <w:rsid w:val="001934CA"/>
    <w:rsid w:val="001A13EE"/>
    <w:rsid w:val="001C6839"/>
    <w:rsid w:val="001E3421"/>
    <w:rsid w:val="00215861"/>
    <w:rsid w:val="002470F8"/>
    <w:rsid w:val="002C254A"/>
    <w:rsid w:val="00356841"/>
    <w:rsid w:val="003A4D7E"/>
    <w:rsid w:val="003F1DD7"/>
    <w:rsid w:val="00406CCD"/>
    <w:rsid w:val="00460E3D"/>
    <w:rsid w:val="004C6FF1"/>
    <w:rsid w:val="00542D98"/>
    <w:rsid w:val="005E35D6"/>
    <w:rsid w:val="00630195"/>
    <w:rsid w:val="006370EB"/>
    <w:rsid w:val="006765FF"/>
    <w:rsid w:val="006A0ECA"/>
    <w:rsid w:val="006C7F4D"/>
    <w:rsid w:val="00707AF4"/>
    <w:rsid w:val="007171E1"/>
    <w:rsid w:val="00755862"/>
    <w:rsid w:val="007801E7"/>
    <w:rsid w:val="0078748A"/>
    <w:rsid w:val="007F7C15"/>
    <w:rsid w:val="00822528"/>
    <w:rsid w:val="00834A6F"/>
    <w:rsid w:val="008E62D7"/>
    <w:rsid w:val="009B66B7"/>
    <w:rsid w:val="009C1D30"/>
    <w:rsid w:val="00A1545B"/>
    <w:rsid w:val="00A47569"/>
    <w:rsid w:val="00A84C75"/>
    <w:rsid w:val="00A86F3F"/>
    <w:rsid w:val="00AA4A67"/>
    <w:rsid w:val="00AD17D9"/>
    <w:rsid w:val="00B47162"/>
    <w:rsid w:val="00B878D1"/>
    <w:rsid w:val="00B907B2"/>
    <w:rsid w:val="00BE76D2"/>
    <w:rsid w:val="00BF5B67"/>
    <w:rsid w:val="00C25F1D"/>
    <w:rsid w:val="00C41306"/>
    <w:rsid w:val="00C43DDC"/>
    <w:rsid w:val="00C44A3E"/>
    <w:rsid w:val="00C44CFF"/>
    <w:rsid w:val="00C6279F"/>
    <w:rsid w:val="00C80C1B"/>
    <w:rsid w:val="00C955BA"/>
    <w:rsid w:val="00CB36C7"/>
    <w:rsid w:val="00CD3D4D"/>
    <w:rsid w:val="00CD4B0B"/>
    <w:rsid w:val="00D46664"/>
    <w:rsid w:val="00D766AE"/>
    <w:rsid w:val="00DA09F4"/>
    <w:rsid w:val="00DB42EA"/>
    <w:rsid w:val="00DC54FF"/>
    <w:rsid w:val="00DF59C0"/>
    <w:rsid w:val="00E4783F"/>
    <w:rsid w:val="00E70226"/>
    <w:rsid w:val="00E77354"/>
    <w:rsid w:val="00E773A1"/>
    <w:rsid w:val="00EA2FC5"/>
    <w:rsid w:val="00EF58F2"/>
    <w:rsid w:val="00F237A6"/>
    <w:rsid w:val="00FB6DD4"/>
    <w:rsid w:val="03E17841"/>
    <w:rsid w:val="0AFC5F6E"/>
    <w:rsid w:val="1193798E"/>
    <w:rsid w:val="19131691"/>
    <w:rsid w:val="1B835836"/>
    <w:rsid w:val="211511D9"/>
    <w:rsid w:val="23DD0DCC"/>
    <w:rsid w:val="25005972"/>
    <w:rsid w:val="269B246B"/>
    <w:rsid w:val="287357D1"/>
    <w:rsid w:val="287D3698"/>
    <w:rsid w:val="2A700DA9"/>
    <w:rsid w:val="2EF51D26"/>
    <w:rsid w:val="3340475C"/>
    <w:rsid w:val="342003B3"/>
    <w:rsid w:val="354861D1"/>
    <w:rsid w:val="36C606FF"/>
    <w:rsid w:val="36E30B56"/>
    <w:rsid w:val="380B3D02"/>
    <w:rsid w:val="3B274D17"/>
    <w:rsid w:val="3C0D594E"/>
    <w:rsid w:val="3E995DCC"/>
    <w:rsid w:val="4105337E"/>
    <w:rsid w:val="444F18B8"/>
    <w:rsid w:val="45B31205"/>
    <w:rsid w:val="47F97AB2"/>
    <w:rsid w:val="4BB60F6D"/>
    <w:rsid w:val="4D6E27F0"/>
    <w:rsid w:val="4E777205"/>
    <w:rsid w:val="504A1E5D"/>
    <w:rsid w:val="50CD0D36"/>
    <w:rsid w:val="52BE3212"/>
    <w:rsid w:val="5AF20DEB"/>
    <w:rsid w:val="5CE13766"/>
    <w:rsid w:val="5E513E51"/>
    <w:rsid w:val="614130F3"/>
    <w:rsid w:val="625172BE"/>
    <w:rsid w:val="694C2928"/>
    <w:rsid w:val="6B9803F9"/>
    <w:rsid w:val="6D6D2EA1"/>
    <w:rsid w:val="734143D8"/>
    <w:rsid w:val="78E14AA7"/>
    <w:rsid w:val="79FE67D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2">
    <w:name w:val="heading 1"/>
    <w:next w:val="1"/>
    <w:link w:val="20"/>
    <w:qFormat/>
    <w:uiPriority w:val="0"/>
    <w:pPr>
      <w:keepLines/>
      <w:spacing w:before="120" w:after="120" w:line="360" w:lineRule="auto"/>
      <w:jc w:val="both"/>
      <w:outlineLvl w:val="0"/>
    </w:pPr>
    <w:rPr>
      <w:rFonts w:ascii="Times New Roman" w:hAnsi="Times New Roman" w:eastAsia="宋体" w:cstheme="minorBidi"/>
      <w:b/>
      <w:bCs/>
      <w:kern w:val="44"/>
      <w:sz w:val="32"/>
      <w:szCs w:val="44"/>
      <w:lang w:val="en-US" w:eastAsia="zh-CN" w:bidi="ar-SA"/>
    </w:rPr>
  </w:style>
  <w:style w:type="paragraph" w:styleId="3">
    <w:name w:val="heading 2"/>
    <w:basedOn w:val="1"/>
    <w:next w:val="1"/>
    <w:link w:val="18"/>
    <w:qFormat/>
    <w:uiPriority w:val="0"/>
    <w:pPr>
      <w:keepNext/>
      <w:keepLines/>
      <w:widowControl w:val="0"/>
      <w:adjustRightInd/>
      <w:snapToGrid/>
      <w:spacing w:after="0" w:line="360" w:lineRule="exact"/>
      <w:jc w:val="both"/>
      <w:outlineLvl w:val="1"/>
    </w:pPr>
    <w:rPr>
      <w:rFonts w:ascii="Times New Roman" w:hAnsi="Times New Roman" w:eastAsia="宋体"/>
      <w:bCs/>
      <w:kern w:val="2"/>
      <w:sz w:val="21"/>
      <w:szCs w:val="32"/>
      <w:lang w:val="zh-CN"/>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26"/>
    <w:semiHidden/>
    <w:unhideWhenUsed/>
    <w:qFormat/>
    <w:uiPriority w:val="99"/>
    <w:rPr>
      <w:rFonts w:ascii="宋体" w:eastAsia="宋体"/>
      <w:sz w:val="18"/>
      <w:szCs w:val="18"/>
    </w:rPr>
  </w:style>
  <w:style w:type="paragraph" w:styleId="5">
    <w:name w:val="annotation text"/>
    <w:basedOn w:val="1"/>
    <w:link w:val="27"/>
    <w:unhideWhenUsed/>
    <w:qFormat/>
    <w:uiPriority w:val="99"/>
    <w:pPr>
      <w:adjustRightInd/>
      <w:snapToGrid/>
      <w:spacing w:after="0" w:line="360" w:lineRule="auto"/>
      <w:ind w:firstLine="200" w:firstLineChars="200"/>
      <w:jc w:val="both"/>
    </w:pPr>
    <w:rPr>
      <w:rFonts w:eastAsia="仿宋" w:asciiTheme="minorHAnsi" w:hAnsiTheme="minorHAnsi"/>
      <w:sz w:val="24"/>
      <w:szCs w:val="24"/>
      <w:lang w:eastAsia="en-US" w:bidi="en-US"/>
    </w:rPr>
  </w:style>
  <w:style w:type="paragraph" w:styleId="6">
    <w:name w:val="Body Text Indent"/>
    <w:basedOn w:val="1"/>
    <w:link w:val="25"/>
    <w:semiHidden/>
    <w:unhideWhenUsed/>
    <w:qFormat/>
    <w:uiPriority w:val="99"/>
    <w:pPr>
      <w:spacing w:after="120"/>
      <w:ind w:left="420" w:leftChars="200"/>
    </w:pPr>
  </w:style>
  <w:style w:type="paragraph" w:styleId="7">
    <w:name w:val="Balloon Text"/>
    <w:basedOn w:val="1"/>
    <w:link w:val="28"/>
    <w:semiHidden/>
    <w:unhideWhenUsed/>
    <w:qFormat/>
    <w:uiPriority w:val="99"/>
    <w:pPr>
      <w:spacing w:after="0"/>
    </w:pPr>
    <w:rPr>
      <w:sz w:val="18"/>
      <w:szCs w:val="18"/>
    </w:rPr>
  </w:style>
  <w:style w:type="paragraph" w:styleId="8">
    <w:name w:val="footer"/>
    <w:basedOn w:val="1"/>
    <w:link w:val="16"/>
    <w:unhideWhenUsed/>
    <w:qFormat/>
    <w:uiPriority w:val="99"/>
    <w:pPr>
      <w:tabs>
        <w:tab w:val="center" w:pos="4153"/>
        <w:tab w:val="right" w:pos="8306"/>
      </w:tabs>
    </w:pPr>
    <w:rPr>
      <w:sz w:val="18"/>
      <w:szCs w:val="18"/>
    </w:rPr>
  </w:style>
  <w:style w:type="paragraph" w:styleId="9">
    <w:name w:val="header"/>
    <w:basedOn w:val="1"/>
    <w:link w:val="15"/>
    <w:unhideWhenUsed/>
    <w:qFormat/>
    <w:uiPriority w:val="0"/>
    <w:pPr>
      <w:pBdr>
        <w:bottom w:val="single" w:color="auto" w:sz="6" w:space="1"/>
      </w:pBdr>
      <w:tabs>
        <w:tab w:val="center" w:pos="4153"/>
        <w:tab w:val="right" w:pos="8306"/>
      </w:tabs>
      <w:jc w:val="center"/>
    </w:pPr>
    <w:rPr>
      <w:sz w:val="18"/>
      <w:szCs w:val="18"/>
    </w:rPr>
  </w:style>
  <w:style w:type="paragraph" w:styleId="10">
    <w:name w:val="annotation subject"/>
    <w:basedOn w:val="5"/>
    <w:next w:val="5"/>
    <w:link w:val="29"/>
    <w:semiHidden/>
    <w:unhideWhenUsed/>
    <w:qFormat/>
    <w:uiPriority w:val="99"/>
    <w:pPr>
      <w:adjustRightInd w:val="0"/>
      <w:snapToGrid w:val="0"/>
      <w:spacing w:after="200" w:line="240" w:lineRule="auto"/>
      <w:ind w:firstLine="0" w:firstLineChars="0"/>
      <w:jc w:val="left"/>
    </w:pPr>
    <w:rPr>
      <w:rFonts w:ascii="Tahoma" w:hAnsi="Tahoma" w:eastAsia="微软雅黑"/>
      <w:b/>
      <w:bCs/>
      <w:sz w:val="22"/>
      <w:szCs w:val="22"/>
      <w:lang w:eastAsia="zh-CN" w:bidi="ar-SA"/>
    </w:rPr>
  </w:style>
  <w:style w:type="table" w:styleId="12">
    <w:name w:val="Table Grid"/>
    <w:qFormat/>
    <w:uiPriority w:val="59"/>
    <w:pPr>
      <w:jc w:val="center"/>
    </w:pPr>
    <w:rPr>
      <w:sz w:val="21"/>
    </w:rPr>
    <w:tblPr>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57" w:type="dxa"/>
        <w:bottom w:w="0" w:type="dxa"/>
        <w:right w:w="57" w:type="dxa"/>
      </w:tblCellMar>
    </w:tblPr>
    <w:trPr>
      <w:jc w:val="center"/>
    </w:trPr>
    <w:tcPr>
      <w:tcMar>
        <w:left w:w="57" w:type="dxa"/>
        <w:right w:w="57" w:type="dxa"/>
      </w:tcMar>
      <w:vAlign w:val="center"/>
    </w:tcPr>
  </w:style>
  <w:style w:type="character" w:styleId="14">
    <w:name w:val="annotation reference"/>
    <w:basedOn w:val="13"/>
    <w:unhideWhenUsed/>
    <w:qFormat/>
    <w:uiPriority w:val="99"/>
    <w:rPr>
      <w:sz w:val="21"/>
      <w:szCs w:val="21"/>
    </w:rPr>
  </w:style>
  <w:style w:type="character" w:customStyle="1" w:styleId="15">
    <w:name w:val="页眉 字符"/>
    <w:basedOn w:val="13"/>
    <w:link w:val="9"/>
    <w:qFormat/>
    <w:uiPriority w:val="0"/>
    <w:rPr>
      <w:sz w:val="18"/>
      <w:szCs w:val="18"/>
    </w:rPr>
  </w:style>
  <w:style w:type="character" w:customStyle="1" w:styleId="16">
    <w:name w:val="页脚 字符"/>
    <w:basedOn w:val="13"/>
    <w:link w:val="8"/>
    <w:qFormat/>
    <w:uiPriority w:val="99"/>
    <w:rPr>
      <w:sz w:val="18"/>
      <w:szCs w:val="18"/>
    </w:rPr>
  </w:style>
  <w:style w:type="character" w:customStyle="1" w:styleId="17">
    <w:name w:val="标题 2 字符"/>
    <w:basedOn w:val="13"/>
    <w:qFormat/>
    <w:uiPriority w:val="0"/>
    <w:rPr>
      <w:rFonts w:asciiTheme="majorHAnsi" w:hAnsiTheme="majorHAnsi" w:eastAsiaTheme="majorEastAsia" w:cstheme="majorBidi"/>
      <w:b/>
      <w:bCs/>
      <w:kern w:val="0"/>
      <w:sz w:val="32"/>
      <w:szCs w:val="32"/>
    </w:rPr>
  </w:style>
  <w:style w:type="character" w:customStyle="1" w:styleId="18">
    <w:name w:val="标题 2 字符1"/>
    <w:link w:val="3"/>
    <w:qFormat/>
    <w:uiPriority w:val="0"/>
    <w:rPr>
      <w:rFonts w:ascii="Times New Roman" w:hAnsi="Times New Roman" w:eastAsia="宋体" w:cs="Times New Roman"/>
      <w:bCs/>
      <w:szCs w:val="32"/>
      <w:lang w:val="zh-CN" w:eastAsia="zh-CN"/>
    </w:rPr>
  </w:style>
  <w:style w:type="paragraph" w:customStyle="1" w:styleId="19">
    <w:name w:val="普通(网站)1"/>
    <w:basedOn w:val="1"/>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0">
    <w:name w:val="标题 1 字符"/>
    <w:basedOn w:val="13"/>
    <w:link w:val="2"/>
    <w:qFormat/>
    <w:uiPriority w:val="0"/>
    <w:rPr>
      <w:b/>
      <w:bCs/>
      <w:kern w:val="44"/>
      <w:sz w:val="32"/>
      <w:szCs w:val="44"/>
    </w:rPr>
  </w:style>
  <w:style w:type="paragraph" w:customStyle="1" w:styleId="21">
    <w:name w:val="表头"/>
    <w:next w:val="1"/>
    <w:link w:val="22"/>
    <w:qFormat/>
    <w:uiPriority w:val="0"/>
    <w:pPr>
      <w:spacing w:beforeLines="50" w:line="360" w:lineRule="auto"/>
      <w:jc w:val="center"/>
    </w:pPr>
    <w:rPr>
      <w:rFonts w:ascii="Times New Roman" w:hAnsi="Times New Roman" w:eastAsia="宋体" w:cstheme="minorBidi"/>
      <w:b/>
      <w:kern w:val="2"/>
      <w:sz w:val="24"/>
      <w:szCs w:val="24"/>
      <w:lang w:val="en-US" w:eastAsia="zh-CN" w:bidi="ar-SA"/>
    </w:rPr>
  </w:style>
  <w:style w:type="character" w:customStyle="1" w:styleId="22">
    <w:name w:val="No Spacing Char"/>
    <w:link w:val="21"/>
    <w:qFormat/>
    <w:uiPriority w:val="0"/>
    <w:rPr>
      <w:b/>
      <w:kern w:val="2"/>
      <w:sz w:val="24"/>
      <w:szCs w:val="24"/>
    </w:rPr>
  </w:style>
  <w:style w:type="character" w:customStyle="1" w:styleId="23">
    <w:name w:val="正文1 Char"/>
    <w:link w:val="24"/>
    <w:qFormat/>
    <w:uiPriority w:val="0"/>
    <w:rPr>
      <w:rFonts w:ascii="宋体" w:hAnsi="宋体"/>
      <w:kern w:val="2"/>
      <w:sz w:val="24"/>
    </w:rPr>
  </w:style>
  <w:style w:type="paragraph" w:customStyle="1" w:styleId="24">
    <w:name w:val="正文1"/>
    <w:basedOn w:val="6"/>
    <w:link w:val="23"/>
    <w:qFormat/>
    <w:uiPriority w:val="0"/>
    <w:pPr>
      <w:widowControl w:val="0"/>
      <w:tabs>
        <w:tab w:val="left" w:pos="5460"/>
      </w:tabs>
      <w:adjustRightInd/>
      <w:snapToGrid/>
      <w:spacing w:after="0" w:line="360" w:lineRule="auto"/>
      <w:ind w:left="0" w:leftChars="0" w:firstLine="480"/>
      <w:jc w:val="both"/>
    </w:pPr>
    <w:rPr>
      <w:rFonts w:ascii="宋体" w:hAnsi="宋体" w:eastAsia="宋体" w:cstheme="minorBidi"/>
      <w:kern w:val="2"/>
      <w:sz w:val="24"/>
      <w:szCs w:val="20"/>
    </w:rPr>
  </w:style>
  <w:style w:type="character" w:customStyle="1" w:styleId="25">
    <w:name w:val="正文文本缩进 字符"/>
    <w:basedOn w:val="13"/>
    <w:link w:val="6"/>
    <w:semiHidden/>
    <w:qFormat/>
    <w:uiPriority w:val="99"/>
    <w:rPr>
      <w:rFonts w:ascii="Tahoma" w:hAnsi="Tahoma" w:eastAsia="微软雅黑" w:cs="Times New Roman"/>
      <w:sz w:val="22"/>
      <w:szCs w:val="22"/>
    </w:rPr>
  </w:style>
  <w:style w:type="character" w:customStyle="1" w:styleId="26">
    <w:name w:val="文档结构图 字符"/>
    <w:basedOn w:val="13"/>
    <w:link w:val="4"/>
    <w:semiHidden/>
    <w:qFormat/>
    <w:uiPriority w:val="99"/>
    <w:rPr>
      <w:rFonts w:ascii="宋体" w:hAnsi="Tahoma" w:cs="Times New Roman"/>
      <w:sz w:val="18"/>
      <w:szCs w:val="18"/>
    </w:rPr>
  </w:style>
  <w:style w:type="character" w:customStyle="1" w:styleId="27">
    <w:name w:val="批注文字 字符"/>
    <w:basedOn w:val="13"/>
    <w:link w:val="5"/>
    <w:qFormat/>
    <w:uiPriority w:val="99"/>
    <w:rPr>
      <w:rFonts w:eastAsia="仿宋" w:cs="Times New Roman" w:asciiTheme="minorHAnsi" w:hAnsiTheme="minorHAnsi"/>
      <w:sz w:val="24"/>
      <w:szCs w:val="24"/>
      <w:lang w:eastAsia="en-US" w:bidi="en-US"/>
    </w:rPr>
  </w:style>
  <w:style w:type="character" w:customStyle="1" w:styleId="28">
    <w:name w:val="批注框文本 字符"/>
    <w:basedOn w:val="13"/>
    <w:link w:val="7"/>
    <w:semiHidden/>
    <w:qFormat/>
    <w:uiPriority w:val="99"/>
    <w:rPr>
      <w:rFonts w:ascii="Tahoma" w:hAnsi="Tahoma" w:eastAsia="微软雅黑" w:cs="Times New Roman"/>
      <w:sz w:val="18"/>
      <w:szCs w:val="18"/>
    </w:rPr>
  </w:style>
  <w:style w:type="character" w:customStyle="1" w:styleId="29">
    <w:name w:val="批注主题 字符"/>
    <w:basedOn w:val="27"/>
    <w:link w:val="10"/>
    <w:semiHidden/>
    <w:qFormat/>
    <w:uiPriority w:val="99"/>
    <w:rPr>
      <w:rFonts w:ascii="Tahoma" w:hAnsi="Tahoma" w:eastAsia="微软雅黑" w:cs="Times New Roman"/>
      <w:b/>
      <w:bCs/>
      <w:sz w:val="22"/>
      <w:szCs w:val="22"/>
      <w:lang w:eastAsia="en-US" w:bidi="en-US"/>
    </w:rPr>
  </w:style>
  <w:style w:type="paragraph" w:customStyle="1" w:styleId="30">
    <w:name w:val="Default"/>
    <w:basedOn w:val="31"/>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1">
    <w:name w:val="纯文本1"/>
    <w:basedOn w:val="1"/>
    <w:qFormat/>
    <w:uiPriority w:val="0"/>
    <w:pPr>
      <w:adjustRightInd w:val="0"/>
    </w:pPr>
    <w:rPr>
      <w:rFonts w:ascii="宋体" w:hAnsi="Courier New"/>
      <w:szCs w:val="20"/>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4</Pages>
  <Words>2041</Words>
  <Characters>2078</Characters>
  <Lines>21</Lines>
  <Paragraphs>6</Paragraphs>
  <TotalTime>1</TotalTime>
  <ScaleCrop>false</ScaleCrop>
  <LinksUpToDate>false</LinksUpToDate>
  <CharactersWithSpaces>2113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2018-12-07T06:39:00Z</dcterms:created>
  <dc:creator>xl zhang</dc:creator>
  <cp:lastModifiedBy>myself</cp:lastModifiedBy>
  <dcterms:modified xsi:type="dcterms:W3CDTF">2026-08-31T08:52:54Z</dcterms:modified>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75BDC83BC2AA4DE2923B2E7C5FC06BD2</vt:lpwstr>
  </property>
  <property fmtid="{D5CDD505-2E9C-101B-9397-08002B2CF9AE}" pid="4" name="KSOTemplateDocerSaveRecord">
    <vt:lpwstr>eyJoZGlkIjoiZDMzN2VlZDNmMzQ5MDNkZmI1OThlNThmM2E3ZDYwNGUiLCJ1c2VySWQiOiIxMTk4MzIxNTgwIn0=</vt:lpwstr>
  </property>
</Properties>
</file>